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F4C52" w14:textId="647DBFD6" w:rsidR="009F4897" w:rsidRPr="003A4AD3" w:rsidRDefault="009F4897" w:rsidP="003C0182">
      <w:pPr>
        <w:rPr>
          <w:rFonts w:cstheme="minorHAnsi"/>
          <w:b/>
          <w:bCs/>
          <w:sz w:val="24"/>
          <w:szCs w:val="24"/>
        </w:rPr>
      </w:pPr>
      <w:r w:rsidRPr="003A4AD3">
        <w:rPr>
          <w:rFonts w:cstheme="minorHAnsi"/>
          <w:b/>
          <w:bCs/>
          <w:sz w:val="24"/>
          <w:szCs w:val="24"/>
        </w:rPr>
        <w:t>Deakin University Announce</w:t>
      </w:r>
      <w:r w:rsidR="00A8543F" w:rsidRPr="003A4AD3">
        <w:rPr>
          <w:rFonts w:cstheme="minorHAnsi"/>
          <w:b/>
          <w:bCs/>
          <w:sz w:val="24"/>
          <w:szCs w:val="24"/>
        </w:rPr>
        <w:t>s</w:t>
      </w:r>
      <w:r w:rsidRPr="003A4AD3">
        <w:rPr>
          <w:rFonts w:cstheme="minorHAnsi"/>
          <w:b/>
          <w:bCs/>
          <w:sz w:val="24"/>
          <w:szCs w:val="24"/>
        </w:rPr>
        <w:t xml:space="preserve"> Industry Research Partnership and </w:t>
      </w:r>
      <w:r w:rsidR="00A8543F" w:rsidRPr="003A4AD3">
        <w:rPr>
          <w:rFonts w:cstheme="minorHAnsi"/>
          <w:b/>
          <w:bCs/>
          <w:sz w:val="24"/>
          <w:szCs w:val="24"/>
        </w:rPr>
        <w:t>Scholarship with Boeing India</w:t>
      </w:r>
    </w:p>
    <w:p w14:paraId="2905539B" w14:textId="0B7F4E59" w:rsidR="00E16C5B" w:rsidRPr="003A4AD3" w:rsidRDefault="009F4897" w:rsidP="003C0182">
      <w:pPr>
        <w:rPr>
          <w:rFonts w:cstheme="minorHAnsi"/>
          <w:sz w:val="24"/>
          <w:szCs w:val="24"/>
        </w:rPr>
      </w:pPr>
      <w:r w:rsidRPr="003A4AD3">
        <w:rPr>
          <w:rFonts w:cstheme="minorHAnsi"/>
          <w:b/>
          <w:bCs/>
          <w:sz w:val="24"/>
          <w:szCs w:val="24"/>
        </w:rPr>
        <w:t>New Delhi, India:</w:t>
      </w:r>
      <w:r w:rsidRPr="003A4AD3">
        <w:rPr>
          <w:rFonts w:cstheme="minorHAnsi"/>
          <w:sz w:val="24"/>
          <w:szCs w:val="24"/>
        </w:rPr>
        <w:t xml:space="preserve"> </w:t>
      </w:r>
      <w:r w:rsidR="003C0182" w:rsidRPr="003A4AD3">
        <w:rPr>
          <w:rFonts w:cstheme="minorHAnsi"/>
          <w:sz w:val="24"/>
          <w:szCs w:val="24"/>
        </w:rPr>
        <w:t xml:space="preserve">Deakin University, </w:t>
      </w:r>
      <w:r w:rsidR="00A8543F" w:rsidRPr="003A4AD3">
        <w:rPr>
          <w:rFonts w:cstheme="minorHAnsi"/>
          <w:sz w:val="24"/>
          <w:szCs w:val="24"/>
        </w:rPr>
        <w:t xml:space="preserve">among </w:t>
      </w:r>
      <w:r w:rsidR="00334D25" w:rsidRPr="003A4AD3">
        <w:rPr>
          <w:rFonts w:cstheme="minorHAnsi"/>
          <w:sz w:val="24"/>
          <w:szCs w:val="24"/>
        </w:rPr>
        <w:t xml:space="preserve">the </w:t>
      </w:r>
      <w:r w:rsidR="00A8543F" w:rsidRPr="003A4AD3">
        <w:rPr>
          <w:rFonts w:cstheme="minorHAnsi"/>
          <w:sz w:val="24"/>
          <w:szCs w:val="24"/>
        </w:rPr>
        <w:t xml:space="preserve">top </w:t>
      </w:r>
      <w:r w:rsidR="003C0182" w:rsidRPr="003A4AD3">
        <w:rPr>
          <w:rFonts w:cstheme="minorHAnsi"/>
          <w:sz w:val="24"/>
          <w:szCs w:val="24"/>
        </w:rPr>
        <w:t>universities worldwide</w:t>
      </w:r>
      <w:r w:rsidR="000819FF" w:rsidRPr="003A4AD3">
        <w:rPr>
          <w:rFonts w:cstheme="minorHAnsi"/>
          <w:sz w:val="24"/>
          <w:szCs w:val="24"/>
        </w:rPr>
        <w:t>,</w:t>
      </w:r>
      <w:r w:rsidR="00AB54C4" w:rsidRPr="003A4AD3">
        <w:rPr>
          <w:rFonts w:cstheme="minorHAnsi"/>
          <w:sz w:val="24"/>
          <w:szCs w:val="24"/>
        </w:rPr>
        <w:t xml:space="preserve"> </w:t>
      </w:r>
      <w:r w:rsidR="00A8543F" w:rsidRPr="003A4AD3">
        <w:rPr>
          <w:rFonts w:cstheme="minorHAnsi"/>
          <w:sz w:val="24"/>
          <w:szCs w:val="24"/>
        </w:rPr>
        <w:t>has</w:t>
      </w:r>
      <w:r w:rsidR="00EA1863" w:rsidRPr="003A4AD3">
        <w:rPr>
          <w:rFonts w:cstheme="minorHAnsi"/>
          <w:sz w:val="24"/>
          <w:szCs w:val="24"/>
        </w:rPr>
        <w:t xml:space="preserve"> announced a strategic collaboration </w:t>
      </w:r>
      <w:r w:rsidR="000819FF" w:rsidRPr="003A4AD3">
        <w:rPr>
          <w:rFonts w:cstheme="minorHAnsi"/>
          <w:sz w:val="24"/>
          <w:szCs w:val="24"/>
        </w:rPr>
        <w:t xml:space="preserve">with Boeing India </w:t>
      </w:r>
      <w:r w:rsidR="00EA1863" w:rsidRPr="003A4AD3">
        <w:rPr>
          <w:rFonts w:cstheme="minorHAnsi"/>
          <w:sz w:val="24"/>
          <w:szCs w:val="24"/>
        </w:rPr>
        <w:t xml:space="preserve">aimed at advancing research in high-temperature applications </w:t>
      </w:r>
      <w:r w:rsidR="000819FF" w:rsidRPr="003A4AD3">
        <w:rPr>
          <w:rFonts w:cstheme="minorHAnsi"/>
          <w:sz w:val="24"/>
          <w:szCs w:val="24"/>
        </w:rPr>
        <w:t xml:space="preserve">in aerospace and defence </w:t>
      </w:r>
      <w:r w:rsidR="00EA1863" w:rsidRPr="003A4AD3">
        <w:rPr>
          <w:rFonts w:cstheme="minorHAnsi"/>
          <w:sz w:val="24"/>
          <w:szCs w:val="24"/>
        </w:rPr>
        <w:t>through alloy development and additive manufacturing of titanium aluminide.</w:t>
      </w:r>
      <w:r w:rsidR="003C0182" w:rsidRPr="003A4AD3">
        <w:rPr>
          <w:rFonts w:cstheme="minorHAnsi"/>
          <w:sz w:val="24"/>
          <w:szCs w:val="24"/>
        </w:rPr>
        <w:t xml:space="preserve"> </w:t>
      </w:r>
      <w:r w:rsidRPr="003A4AD3">
        <w:rPr>
          <w:rFonts w:cstheme="minorHAnsi"/>
          <w:sz w:val="24"/>
          <w:szCs w:val="24"/>
        </w:rPr>
        <w:t xml:space="preserve">Under the </w:t>
      </w:r>
      <w:r w:rsidR="00A8543F" w:rsidRPr="003A4AD3">
        <w:rPr>
          <w:rFonts w:cstheme="minorHAnsi"/>
          <w:sz w:val="24"/>
          <w:szCs w:val="24"/>
        </w:rPr>
        <w:t>i</w:t>
      </w:r>
      <w:r w:rsidRPr="003A4AD3">
        <w:rPr>
          <w:rFonts w:cstheme="minorHAnsi"/>
          <w:sz w:val="24"/>
          <w:szCs w:val="24"/>
        </w:rPr>
        <w:t xml:space="preserve">ndustry </w:t>
      </w:r>
      <w:r w:rsidR="00A8543F" w:rsidRPr="003A4AD3">
        <w:rPr>
          <w:rFonts w:cstheme="minorHAnsi"/>
          <w:sz w:val="24"/>
          <w:szCs w:val="24"/>
        </w:rPr>
        <w:t>r</w:t>
      </w:r>
      <w:r w:rsidRPr="003A4AD3">
        <w:rPr>
          <w:rFonts w:cstheme="minorHAnsi"/>
          <w:sz w:val="24"/>
          <w:szCs w:val="24"/>
        </w:rPr>
        <w:t xml:space="preserve">esearch partnership agreement, </w:t>
      </w:r>
      <w:r w:rsidR="00A8543F" w:rsidRPr="003A4AD3">
        <w:rPr>
          <w:rFonts w:cstheme="minorHAnsi"/>
          <w:sz w:val="24"/>
          <w:szCs w:val="24"/>
        </w:rPr>
        <w:t>Deakin</w:t>
      </w:r>
      <w:r w:rsidRPr="003A4AD3">
        <w:rPr>
          <w:rFonts w:cstheme="minorHAnsi"/>
          <w:sz w:val="24"/>
          <w:szCs w:val="24"/>
        </w:rPr>
        <w:t xml:space="preserve"> </w:t>
      </w:r>
      <w:r w:rsidR="00A8543F" w:rsidRPr="003A4AD3">
        <w:rPr>
          <w:rFonts w:cstheme="minorHAnsi"/>
          <w:sz w:val="24"/>
          <w:szCs w:val="24"/>
        </w:rPr>
        <w:t>will recruit</w:t>
      </w:r>
      <w:r w:rsidRPr="003A4AD3">
        <w:rPr>
          <w:rFonts w:cstheme="minorHAnsi"/>
          <w:sz w:val="24"/>
          <w:szCs w:val="24"/>
        </w:rPr>
        <w:t xml:space="preserve"> a PhD </w:t>
      </w:r>
      <w:r w:rsidR="00A8543F" w:rsidRPr="003A4AD3">
        <w:rPr>
          <w:rFonts w:cstheme="minorHAnsi"/>
          <w:sz w:val="24"/>
          <w:szCs w:val="24"/>
        </w:rPr>
        <w:t>s</w:t>
      </w:r>
      <w:r w:rsidRPr="003A4AD3">
        <w:rPr>
          <w:rFonts w:cstheme="minorHAnsi"/>
          <w:sz w:val="24"/>
          <w:szCs w:val="24"/>
        </w:rPr>
        <w:t xml:space="preserve">cholar to spearhead research efforts. </w:t>
      </w:r>
    </w:p>
    <w:p w14:paraId="3C65A288" w14:textId="2B482D91" w:rsidR="00EE0CD0" w:rsidRPr="003A4AD3" w:rsidRDefault="003C0182" w:rsidP="003C0182">
      <w:pPr>
        <w:rPr>
          <w:rFonts w:cstheme="minorHAnsi"/>
          <w:sz w:val="24"/>
          <w:szCs w:val="24"/>
        </w:rPr>
      </w:pPr>
      <w:r w:rsidRPr="003A4AD3">
        <w:rPr>
          <w:rFonts w:cstheme="minorHAnsi"/>
          <w:sz w:val="24"/>
          <w:szCs w:val="24"/>
        </w:rPr>
        <w:t>Associate Professor Wei Xu</w:t>
      </w:r>
      <w:r w:rsidR="0015362D" w:rsidRPr="003A4AD3">
        <w:rPr>
          <w:rFonts w:cstheme="minorHAnsi"/>
          <w:sz w:val="24"/>
          <w:szCs w:val="24"/>
        </w:rPr>
        <w:t xml:space="preserve"> and Associate Professor Thomas Dorin</w:t>
      </w:r>
      <w:r w:rsidRPr="003A4AD3">
        <w:rPr>
          <w:rFonts w:cstheme="minorHAnsi"/>
          <w:sz w:val="24"/>
          <w:szCs w:val="24"/>
        </w:rPr>
        <w:t xml:space="preserve"> from Deakin University</w:t>
      </w:r>
      <w:r w:rsidR="00A8543F" w:rsidRPr="003A4AD3">
        <w:rPr>
          <w:rFonts w:cstheme="minorHAnsi"/>
          <w:sz w:val="24"/>
          <w:szCs w:val="24"/>
        </w:rPr>
        <w:t xml:space="preserve"> will lead the project</w:t>
      </w:r>
      <w:r w:rsidRPr="003A4AD3">
        <w:rPr>
          <w:rFonts w:cstheme="minorHAnsi"/>
          <w:sz w:val="24"/>
          <w:szCs w:val="24"/>
        </w:rPr>
        <w:t xml:space="preserve"> alongside Dr. Kishora Shetty</w:t>
      </w:r>
      <w:r w:rsidR="00BF3BE8" w:rsidRPr="003A4AD3">
        <w:rPr>
          <w:rFonts w:cstheme="minorHAnsi"/>
          <w:sz w:val="24"/>
          <w:szCs w:val="24"/>
        </w:rPr>
        <w:t>, Associate Technical Fellow</w:t>
      </w:r>
      <w:r w:rsidRPr="003A4AD3">
        <w:rPr>
          <w:rFonts w:cstheme="minorHAnsi"/>
          <w:sz w:val="24"/>
          <w:szCs w:val="24"/>
        </w:rPr>
        <w:t xml:space="preserve"> from Boeing India. </w:t>
      </w:r>
    </w:p>
    <w:p w14:paraId="3B844A53" w14:textId="6CBC4879" w:rsidR="003C0182" w:rsidRPr="003A4AD3" w:rsidRDefault="00EE0CD0" w:rsidP="003C0182">
      <w:pPr>
        <w:rPr>
          <w:rFonts w:cstheme="minorHAnsi"/>
          <w:sz w:val="24"/>
          <w:szCs w:val="24"/>
        </w:rPr>
      </w:pPr>
      <w:r w:rsidRPr="003A4AD3">
        <w:rPr>
          <w:rFonts w:cstheme="minorHAnsi"/>
          <w:sz w:val="24"/>
          <w:szCs w:val="24"/>
        </w:rPr>
        <w:t>This partnership demonstrates Deakin University’s and Boeing India’s commitment to propel</w:t>
      </w:r>
      <w:r w:rsidR="009F4897" w:rsidRPr="003A4AD3">
        <w:rPr>
          <w:rFonts w:cstheme="minorHAnsi"/>
          <w:sz w:val="24"/>
          <w:szCs w:val="24"/>
        </w:rPr>
        <w:t xml:space="preserve"> scientific discover</w:t>
      </w:r>
      <w:r w:rsidR="00A8543F" w:rsidRPr="003A4AD3">
        <w:rPr>
          <w:rFonts w:cstheme="minorHAnsi"/>
          <w:sz w:val="24"/>
          <w:szCs w:val="24"/>
        </w:rPr>
        <w:t>ies</w:t>
      </w:r>
      <w:r w:rsidR="009F4897" w:rsidRPr="003A4AD3">
        <w:rPr>
          <w:rFonts w:cstheme="minorHAnsi"/>
          <w:sz w:val="24"/>
          <w:szCs w:val="24"/>
        </w:rPr>
        <w:t xml:space="preserve"> and technological advancement</w:t>
      </w:r>
      <w:r w:rsidR="00A8543F" w:rsidRPr="003A4AD3">
        <w:rPr>
          <w:rFonts w:cstheme="minorHAnsi"/>
          <w:sz w:val="24"/>
          <w:szCs w:val="24"/>
        </w:rPr>
        <w:t>s</w:t>
      </w:r>
      <w:r w:rsidR="009F4897" w:rsidRPr="003A4AD3">
        <w:rPr>
          <w:rFonts w:cstheme="minorHAnsi"/>
          <w:sz w:val="24"/>
          <w:szCs w:val="24"/>
        </w:rPr>
        <w:t xml:space="preserve"> to new</w:t>
      </w:r>
      <w:r w:rsidR="00A8543F" w:rsidRPr="003A4AD3">
        <w:rPr>
          <w:rFonts w:cstheme="minorHAnsi"/>
          <w:sz w:val="24"/>
          <w:szCs w:val="24"/>
        </w:rPr>
        <w:t>er</w:t>
      </w:r>
      <w:r w:rsidR="009F4897" w:rsidRPr="003A4AD3">
        <w:rPr>
          <w:rFonts w:cstheme="minorHAnsi"/>
          <w:sz w:val="24"/>
          <w:szCs w:val="24"/>
        </w:rPr>
        <w:t xml:space="preserve"> heights.</w:t>
      </w:r>
      <w:r w:rsidR="004E6C6A" w:rsidRPr="003A4AD3">
        <w:rPr>
          <w:rFonts w:cstheme="minorHAnsi"/>
          <w:sz w:val="24"/>
          <w:szCs w:val="24"/>
        </w:rPr>
        <w:t xml:space="preserve"> </w:t>
      </w:r>
      <w:r w:rsidR="00E61C5B" w:rsidRPr="003A4AD3">
        <w:rPr>
          <w:rFonts w:cstheme="minorHAnsi"/>
          <w:sz w:val="24"/>
          <w:szCs w:val="24"/>
        </w:rPr>
        <w:t xml:space="preserve">In </w:t>
      </w:r>
      <w:r w:rsidR="00146B45" w:rsidRPr="003A4AD3">
        <w:rPr>
          <w:rFonts w:cstheme="minorHAnsi"/>
          <w:sz w:val="24"/>
          <w:szCs w:val="24"/>
        </w:rPr>
        <w:t>addition,</w:t>
      </w:r>
      <w:r w:rsidR="004E6C6A" w:rsidRPr="003A4AD3">
        <w:rPr>
          <w:rFonts w:cstheme="minorHAnsi"/>
          <w:sz w:val="24"/>
          <w:szCs w:val="24"/>
        </w:rPr>
        <w:t xml:space="preserve"> </w:t>
      </w:r>
      <w:r w:rsidRPr="003A4AD3">
        <w:rPr>
          <w:rFonts w:cstheme="minorHAnsi"/>
          <w:sz w:val="24"/>
          <w:szCs w:val="24"/>
        </w:rPr>
        <w:t>the recruitment of a PhD scholar will</w:t>
      </w:r>
      <w:r w:rsidR="004E6C6A" w:rsidRPr="003A4AD3">
        <w:rPr>
          <w:rFonts w:cstheme="minorHAnsi"/>
          <w:sz w:val="24"/>
          <w:szCs w:val="24"/>
        </w:rPr>
        <w:t xml:space="preserve"> </w:t>
      </w:r>
      <w:r w:rsidR="00334D25" w:rsidRPr="003A4AD3">
        <w:rPr>
          <w:rFonts w:cstheme="minorHAnsi"/>
          <w:sz w:val="24"/>
          <w:szCs w:val="24"/>
        </w:rPr>
        <w:t>empower</w:t>
      </w:r>
      <w:r w:rsidR="004E6C6A" w:rsidRPr="003A4AD3">
        <w:rPr>
          <w:rFonts w:cstheme="minorHAnsi"/>
          <w:sz w:val="24"/>
          <w:szCs w:val="24"/>
        </w:rPr>
        <w:t xml:space="preserve"> </w:t>
      </w:r>
      <w:r w:rsidR="00334D25" w:rsidRPr="003A4AD3">
        <w:rPr>
          <w:rFonts w:cstheme="minorHAnsi"/>
          <w:sz w:val="24"/>
          <w:szCs w:val="24"/>
        </w:rPr>
        <w:t xml:space="preserve">Deakin and Boeing India </w:t>
      </w:r>
      <w:r w:rsidR="004E6C6A" w:rsidRPr="003A4AD3">
        <w:rPr>
          <w:rFonts w:cstheme="minorHAnsi"/>
          <w:sz w:val="24"/>
          <w:szCs w:val="24"/>
        </w:rPr>
        <w:t>to drive innovation and deliver impactful research outcomes in cutting-edge areas of science and technology.</w:t>
      </w:r>
    </w:p>
    <w:p w14:paraId="70678A09" w14:textId="2AAD7833" w:rsidR="00FA76CD" w:rsidRPr="003A4AD3" w:rsidRDefault="003C0182">
      <w:pPr>
        <w:rPr>
          <w:rFonts w:cstheme="minorHAnsi"/>
          <w:sz w:val="24"/>
          <w:szCs w:val="24"/>
        </w:rPr>
      </w:pPr>
      <w:r w:rsidRPr="003A4AD3">
        <w:rPr>
          <w:rFonts w:cstheme="minorHAnsi"/>
          <w:sz w:val="24"/>
          <w:szCs w:val="24"/>
        </w:rPr>
        <w:t xml:space="preserve">This partnership </w:t>
      </w:r>
      <w:r w:rsidR="000819FF" w:rsidRPr="003A4AD3">
        <w:rPr>
          <w:rFonts w:cstheme="minorHAnsi"/>
          <w:sz w:val="24"/>
          <w:szCs w:val="24"/>
        </w:rPr>
        <w:t>is a great example of</w:t>
      </w:r>
      <w:r w:rsidRPr="003A4AD3">
        <w:rPr>
          <w:rFonts w:cstheme="minorHAnsi"/>
          <w:sz w:val="24"/>
          <w:szCs w:val="24"/>
        </w:rPr>
        <w:t xml:space="preserve"> fostering closer ties between academia and industry, with a focus on preparing a work-ready workforce and </w:t>
      </w:r>
      <w:bookmarkStart w:id="0" w:name="_Hlk159600248"/>
      <w:r w:rsidRPr="003A4AD3">
        <w:rPr>
          <w:rFonts w:cstheme="minorHAnsi"/>
          <w:sz w:val="24"/>
          <w:szCs w:val="24"/>
        </w:rPr>
        <w:t xml:space="preserve">enhancing the </w:t>
      </w:r>
      <w:r w:rsidR="00334D25" w:rsidRPr="003A4AD3">
        <w:rPr>
          <w:rFonts w:cstheme="minorHAnsi"/>
          <w:sz w:val="24"/>
          <w:szCs w:val="24"/>
        </w:rPr>
        <w:t>job readiness</w:t>
      </w:r>
      <w:r w:rsidRPr="003A4AD3">
        <w:rPr>
          <w:rFonts w:cstheme="minorHAnsi"/>
          <w:sz w:val="24"/>
          <w:szCs w:val="24"/>
        </w:rPr>
        <w:t xml:space="preserve"> of research scholars</w:t>
      </w:r>
      <w:bookmarkEnd w:id="0"/>
      <w:r w:rsidRPr="003A4AD3">
        <w:rPr>
          <w:rFonts w:cstheme="minorHAnsi"/>
          <w:sz w:val="24"/>
          <w:szCs w:val="24"/>
        </w:rPr>
        <w:t xml:space="preserve">. </w:t>
      </w:r>
      <w:r w:rsidR="009F4897" w:rsidRPr="003A4AD3">
        <w:rPr>
          <w:rFonts w:cstheme="minorHAnsi"/>
          <w:sz w:val="24"/>
          <w:szCs w:val="24"/>
        </w:rPr>
        <w:t xml:space="preserve">Leveraging expertise from both </w:t>
      </w:r>
      <w:r w:rsidR="00D8137B" w:rsidRPr="003A4AD3">
        <w:rPr>
          <w:rFonts w:cstheme="minorHAnsi"/>
          <w:sz w:val="24"/>
          <w:szCs w:val="24"/>
        </w:rPr>
        <w:t>partners</w:t>
      </w:r>
      <w:r w:rsidR="009F4897" w:rsidRPr="003A4AD3">
        <w:rPr>
          <w:rFonts w:cstheme="minorHAnsi"/>
          <w:sz w:val="24"/>
          <w:szCs w:val="24"/>
        </w:rPr>
        <w:t>, this initiative aims to harness diverse perspectives and resources to tackle industry-specific challenges and propel advancements in high-temperature applications</w:t>
      </w:r>
      <w:r w:rsidR="000819FF" w:rsidRPr="003A4AD3">
        <w:rPr>
          <w:rFonts w:cstheme="minorHAnsi"/>
          <w:sz w:val="24"/>
          <w:szCs w:val="24"/>
        </w:rPr>
        <w:t xml:space="preserve"> in the aerospace and defence industry</w:t>
      </w:r>
      <w:r w:rsidR="009F4897" w:rsidRPr="003A4AD3">
        <w:rPr>
          <w:rFonts w:cstheme="minorHAnsi"/>
          <w:sz w:val="24"/>
          <w:szCs w:val="24"/>
        </w:rPr>
        <w:t>.</w:t>
      </w:r>
    </w:p>
    <w:p w14:paraId="4CD713AC" w14:textId="6ABF3808" w:rsidR="003C0182" w:rsidRPr="003A4AD3" w:rsidRDefault="009F4897">
      <w:pPr>
        <w:rPr>
          <w:rFonts w:cstheme="minorHAnsi"/>
          <w:i/>
          <w:iCs/>
          <w:sz w:val="24"/>
          <w:szCs w:val="24"/>
        </w:rPr>
      </w:pPr>
      <w:r w:rsidRPr="003A4AD3">
        <w:rPr>
          <w:rFonts w:cstheme="minorHAnsi"/>
          <w:sz w:val="24"/>
          <w:szCs w:val="24"/>
        </w:rPr>
        <w:t xml:space="preserve">Associate Professor Wei Xu </w:t>
      </w:r>
      <w:r w:rsidR="00C15109" w:rsidRPr="003A4AD3">
        <w:rPr>
          <w:rFonts w:cstheme="minorHAnsi"/>
          <w:sz w:val="24"/>
          <w:szCs w:val="24"/>
        </w:rPr>
        <w:t>said</w:t>
      </w:r>
      <w:r w:rsidRPr="003A4AD3">
        <w:rPr>
          <w:rFonts w:cstheme="minorHAnsi"/>
          <w:i/>
          <w:iCs/>
          <w:sz w:val="24"/>
          <w:szCs w:val="24"/>
        </w:rPr>
        <w:t>, "</w:t>
      </w:r>
      <w:r w:rsidR="00293D59" w:rsidRPr="003A4AD3">
        <w:rPr>
          <w:rFonts w:cstheme="minorHAnsi"/>
          <w:i/>
          <w:iCs/>
          <w:sz w:val="24"/>
          <w:szCs w:val="24"/>
        </w:rPr>
        <w:t>We’re thrilled</w:t>
      </w:r>
      <w:r w:rsidRPr="003A4AD3">
        <w:rPr>
          <w:rFonts w:cstheme="minorHAnsi"/>
          <w:i/>
          <w:iCs/>
          <w:sz w:val="24"/>
          <w:szCs w:val="24"/>
        </w:rPr>
        <w:t xml:space="preserve"> to </w:t>
      </w:r>
      <w:r w:rsidR="00EE0CD0" w:rsidRPr="003A4AD3">
        <w:rPr>
          <w:rFonts w:cstheme="minorHAnsi"/>
          <w:i/>
          <w:iCs/>
          <w:sz w:val="24"/>
          <w:szCs w:val="24"/>
        </w:rPr>
        <w:t xml:space="preserve">partner </w:t>
      </w:r>
      <w:r w:rsidRPr="003A4AD3">
        <w:rPr>
          <w:rFonts w:cstheme="minorHAnsi"/>
          <w:i/>
          <w:iCs/>
          <w:sz w:val="24"/>
          <w:szCs w:val="24"/>
        </w:rPr>
        <w:t xml:space="preserve">with Boeing India to tackle industry-specific challenges and drive innovation in high-temperature applications. Through this partnership, Deakin looks forward to working closely with Boeing and pooling expertise to </w:t>
      </w:r>
      <w:r w:rsidR="00334D25" w:rsidRPr="003A4AD3">
        <w:rPr>
          <w:rFonts w:cstheme="minorHAnsi"/>
          <w:i/>
          <w:iCs/>
          <w:sz w:val="24"/>
          <w:szCs w:val="24"/>
        </w:rPr>
        <w:t>optimize</w:t>
      </w:r>
      <w:r w:rsidRPr="003A4AD3">
        <w:rPr>
          <w:rFonts w:cstheme="minorHAnsi"/>
          <w:i/>
          <w:iCs/>
          <w:sz w:val="24"/>
          <w:szCs w:val="24"/>
        </w:rPr>
        <w:t xml:space="preserve"> industry solutions led by research.” </w:t>
      </w:r>
    </w:p>
    <w:p w14:paraId="478D88EC" w14:textId="72B872A8" w:rsidR="00A40826" w:rsidRPr="003A4AD3" w:rsidRDefault="009F4897" w:rsidP="00A40826">
      <w:pPr>
        <w:rPr>
          <w:rFonts w:cstheme="minorHAnsi"/>
          <w:sz w:val="24"/>
          <w:szCs w:val="24"/>
        </w:rPr>
      </w:pPr>
      <w:r w:rsidRPr="003A4AD3">
        <w:rPr>
          <w:rFonts w:cstheme="minorHAnsi"/>
          <w:sz w:val="24"/>
          <w:szCs w:val="24"/>
        </w:rPr>
        <w:t xml:space="preserve">Both supervisors have reaffirmed their </w:t>
      </w:r>
      <w:r w:rsidR="00334D25" w:rsidRPr="003A4AD3">
        <w:rPr>
          <w:rFonts w:cstheme="minorHAnsi"/>
          <w:sz w:val="24"/>
          <w:szCs w:val="24"/>
        </w:rPr>
        <w:t>organizations'</w:t>
      </w:r>
      <w:r w:rsidRPr="003A4AD3">
        <w:rPr>
          <w:rFonts w:cstheme="minorHAnsi"/>
          <w:sz w:val="24"/>
          <w:szCs w:val="24"/>
        </w:rPr>
        <w:t xml:space="preserve"> dedication to </w:t>
      </w:r>
      <w:r w:rsidR="00334D25" w:rsidRPr="003A4AD3">
        <w:rPr>
          <w:rFonts w:cstheme="minorHAnsi"/>
          <w:sz w:val="24"/>
          <w:szCs w:val="24"/>
        </w:rPr>
        <w:t>specialized</w:t>
      </w:r>
      <w:r w:rsidRPr="003A4AD3">
        <w:rPr>
          <w:rFonts w:cstheme="minorHAnsi"/>
          <w:sz w:val="24"/>
          <w:szCs w:val="24"/>
        </w:rPr>
        <w:t xml:space="preserve"> research and development </w:t>
      </w:r>
      <w:r w:rsidR="006C1F96" w:rsidRPr="003A4AD3">
        <w:rPr>
          <w:rFonts w:cstheme="minorHAnsi"/>
          <w:sz w:val="24"/>
          <w:szCs w:val="24"/>
        </w:rPr>
        <w:t xml:space="preserve">with a shared goal of tackling challenges </w:t>
      </w:r>
      <w:r w:rsidR="00334D25" w:rsidRPr="003A4AD3">
        <w:rPr>
          <w:rFonts w:cstheme="minorHAnsi"/>
          <w:sz w:val="24"/>
          <w:szCs w:val="24"/>
        </w:rPr>
        <w:t>along with</w:t>
      </w:r>
      <w:r w:rsidR="006C1F96" w:rsidRPr="003A4AD3">
        <w:rPr>
          <w:rFonts w:cstheme="minorHAnsi"/>
          <w:sz w:val="24"/>
          <w:szCs w:val="24"/>
        </w:rPr>
        <w:t xml:space="preserve"> </w:t>
      </w:r>
      <w:r w:rsidR="00334D25" w:rsidRPr="003A4AD3">
        <w:rPr>
          <w:rFonts w:cstheme="minorHAnsi"/>
          <w:sz w:val="24"/>
          <w:szCs w:val="24"/>
        </w:rPr>
        <w:t>capitalizing</w:t>
      </w:r>
      <w:r w:rsidR="006C1F96" w:rsidRPr="003A4AD3">
        <w:rPr>
          <w:rFonts w:cstheme="minorHAnsi"/>
          <w:sz w:val="24"/>
          <w:szCs w:val="24"/>
        </w:rPr>
        <w:t xml:space="preserve"> on opportunities to advance the</w:t>
      </w:r>
      <w:r w:rsidR="001E2C8C" w:rsidRPr="003A4AD3">
        <w:rPr>
          <w:rFonts w:cstheme="minorHAnsi"/>
          <w:sz w:val="24"/>
          <w:szCs w:val="24"/>
        </w:rPr>
        <w:t>ir</w:t>
      </w:r>
      <w:r w:rsidR="006C1F96" w:rsidRPr="003A4AD3">
        <w:rPr>
          <w:rFonts w:cstheme="minorHAnsi"/>
          <w:sz w:val="24"/>
          <w:szCs w:val="24"/>
        </w:rPr>
        <w:t xml:space="preserve"> research </w:t>
      </w:r>
      <w:r w:rsidR="00334D25" w:rsidRPr="003A4AD3">
        <w:rPr>
          <w:rFonts w:cstheme="minorHAnsi"/>
          <w:sz w:val="24"/>
          <w:szCs w:val="24"/>
        </w:rPr>
        <w:t>endeavours</w:t>
      </w:r>
      <w:r w:rsidR="006C1F96" w:rsidRPr="003A4AD3">
        <w:rPr>
          <w:rFonts w:cstheme="minorHAnsi"/>
          <w:sz w:val="24"/>
          <w:szCs w:val="24"/>
        </w:rPr>
        <w:t xml:space="preserve"> in both Australia and India.</w:t>
      </w:r>
      <w:r w:rsidRPr="003A4AD3">
        <w:rPr>
          <w:rFonts w:cstheme="minorHAnsi"/>
          <w:sz w:val="24"/>
          <w:szCs w:val="24"/>
        </w:rPr>
        <w:t xml:space="preserve"> </w:t>
      </w:r>
      <w:r w:rsidR="001E2C8C" w:rsidRPr="003A4AD3">
        <w:rPr>
          <w:rFonts w:cstheme="minorHAnsi"/>
          <w:sz w:val="24"/>
          <w:szCs w:val="24"/>
        </w:rPr>
        <w:t xml:space="preserve">This </w:t>
      </w:r>
      <w:r w:rsidR="00EE0CD0" w:rsidRPr="003A4AD3">
        <w:rPr>
          <w:rFonts w:cstheme="minorHAnsi"/>
          <w:sz w:val="24"/>
          <w:szCs w:val="24"/>
        </w:rPr>
        <w:t>partnership</w:t>
      </w:r>
      <w:r w:rsidR="001E2C8C" w:rsidRPr="003A4AD3">
        <w:rPr>
          <w:rFonts w:cstheme="minorHAnsi"/>
          <w:sz w:val="24"/>
          <w:szCs w:val="24"/>
        </w:rPr>
        <w:t xml:space="preserve"> aims to inspire </w:t>
      </w:r>
      <w:r w:rsidR="00334D25" w:rsidRPr="003A4AD3">
        <w:rPr>
          <w:rFonts w:cstheme="minorHAnsi"/>
          <w:sz w:val="24"/>
          <w:szCs w:val="24"/>
        </w:rPr>
        <w:t>such</w:t>
      </w:r>
      <w:r w:rsidR="001E2C8C" w:rsidRPr="003A4AD3">
        <w:rPr>
          <w:rFonts w:cstheme="minorHAnsi"/>
          <w:sz w:val="24"/>
          <w:szCs w:val="24"/>
        </w:rPr>
        <w:t xml:space="preserve"> industry-academia </w:t>
      </w:r>
      <w:r w:rsidR="00334D25" w:rsidRPr="003A4AD3">
        <w:rPr>
          <w:rFonts w:cstheme="minorHAnsi"/>
          <w:sz w:val="24"/>
          <w:szCs w:val="24"/>
        </w:rPr>
        <w:t>collaborations</w:t>
      </w:r>
      <w:r w:rsidR="001E2C8C" w:rsidRPr="003A4AD3">
        <w:rPr>
          <w:rFonts w:cstheme="minorHAnsi"/>
          <w:sz w:val="24"/>
          <w:szCs w:val="24"/>
        </w:rPr>
        <w:t xml:space="preserve"> that help create stronger, higher education systems. It </w:t>
      </w:r>
      <w:r w:rsidR="00A40826" w:rsidRPr="003A4AD3">
        <w:rPr>
          <w:rFonts w:cstheme="minorHAnsi"/>
          <w:sz w:val="24"/>
          <w:szCs w:val="24"/>
        </w:rPr>
        <w:t>will be instrumental in supporting projects for global development and quality research outcomes that are beneficial for both countries.</w:t>
      </w:r>
    </w:p>
    <w:p w14:paraId="7C62600C" w14:textId="3E00558E" w:rsidR="00A40826" w:rsidRPr="003A4AD3" w:rsidRDefault="00A40826" w:rsidP="00A40826">
      <w:pPr>
        <w:rPr>
          <w:rFonts w:cstheme="minorHAnsi"/>
          <w:sz w:val="24"/>
          <w:szCs w:val="24"/>
        </w:rPr>
      </w:pPr>
      <w:r w:rsidRPr="003A4AD3">
        <w:rPr>
          <w:rFonts w:cstheme="minorHAnsi"/>
          <w:sz w:val="24"/>
          <w:szCs w:val="24"/>
        </w:rPr>
        <w:t xml:space="preserve">The partnership will help create a new generation of highly skilled professionals by training research scholars with enhanced </w:t>
      </w:r>
      <w:r w:rsidR="00334D25" w:rsidRPr="003A4AD3">
        <w:rPr>
          <w:rFonts w:cstheme="minorHAnsi"/>
          <w:sz w:val="24"/>
          <w:szCs w:val="24"/>
        </w:rPr>
        <w:t>industry orientation</w:t>
      </w:r>
      <w:r w:rsidRPr="003A4AD3">
        <w:rPr>
          <w:rFonts w:cstheme="minorHAnsi"/>
          <w:sz w:val="24"/>
          <w:szCs w:val="24"/>
        </w:rPr>
        <w:t xml:space="preserve">. In </w:t>
      </w:r>
      <w:r w:rsidR="00334D25" w:rsidRPr="003A4AD3">
        <w:rPr>
          <w:rFonts w:cstheme="minorHAnsi"/>
          <w:sz w:val="24"/>
          <w:szCs w:val="24"/>
        </w:rPr>
        <w:t xml:space="preserve">the </w:t>
      </w:r>
      <w:r w:rsidRPr="003A4AD3">
        <w:rPr>
          <w:rFonts w:cstheme="minorHAnsi"/>
          <w:sz w:val="24"/>
          <w:szCs w:val="24"/>
        </w:rPr>
        <w:t>future</w:t>
      </w:r>
      <w:r w:rsidR="001E2C8C" w:rsidRPr="003A4AD3">
        <w:rPr>
          <w:rFonts w:cstheme="minorHAnsi"/>
          <w:sz w:val="24"/>
          <w:szCs w:val="24"/>
        </w:rPr>
        <w:t>,</w:t>
      </w:r>
      <w:r w:rsidRPr="003A4AD3">
        <w:rPr>
          <w:rFonts w:cstheme="minorHAnsi"/>
          <w:sz w:val="24"/>
          <w:szCs w:val="24"/>
        </w:rPr>
        <w:t xml:space="preserve"> it will help create opportunities for continuous learning </w:t>
      </w:r>
      <w:r w:rsidR="00334D25" w:rsidRPr="003A4AD3">
        <w:rPr>
          <w:rFonts w:cstheme="minorHAnsi"/>
          <w:sz w:val="24"/>
          <w:szCs w:val="24"/>
        </w:rPr>
        <w:t>and will keep the</w:t>
      </w:r>
      <w:r w:rsidRPr="003A4AD3">
        <w:rPr>
          <w:rFonts w:cstheme="minorHAnsi"/>
          <w:sz w:val="24"/>
          <w:szCs w:val="24"/>
        </w:rPr>
        <w:t xml:space="preserve"> training and skilling at par with industry evolution. </w:t>
      </w:r>
      <w:r w:rsidR="00AF5A98" w:rsidRPr="003A4AD3">
        <w:rPr>
          <w:rFonts w:cstheme="minorHAnsi"/>
          <w:sz w:val="24"/>
          <w:szCs w:val="24"/>
        </w:rPr>
        <w:t xml:space="preserve">The Deakin University and </w:t>
      </w:r>
      <w:r w:rsidR="00EE0CD0" w:rsidRPr="003A4AD3">
        <w:rPr>
          <w:rFonts w:cstheme="minorHAnsi"/>
          <w:sz w:val="24"/>
          <w:szCs w:val="24"/>
        </w:rPr>
        <w:t xml:space="preserve">Boeing India </w:t>
      </w:r>
      <w:r w:rsidR="00334D25" w:rsidRPr="003A4AD3">
        <w:rPr>
          <w:rFonts w:cstheme="minorHAnsi"/>
          <w:sz w:val="24"/>
          <w:szCs w:val="24"/>
        </w:rPr>
        <w:t>underscore</w:t>
      </w:r>
      <w:r w:rsidR="00AF5A98" w:rsidRPr="003A4AD3">
        <w:rPr>
          <w:rFonts w:cstheme="minorHAnsi"/>
          <w:sz w:val="24"/>
          <w:szCs w:val="24"/>
        </w:rPr>
        <w:t xml:space="preserve"> the potential of integrating academic and research excellence with industry innovation.</w:t>
      </w:r>
    </w:p>
    <w:p w14:paraId="773EA074" w14:textId="259843D5" w:rsidR="003A4AD3" w:rsidRPr="003A4AD3" w:rsidRDefault="003A4AD3" w:rsidP="00A40826">
      <w:pPr>
        <w:rPr>
          <w:rFonts w:cstheme="minorHAnsi"/>
          <w:sz w:val="24"/>
          <w:szCs w:val="24"/>
        </w:rPr>
      </w:pPr>
      <w:r w:rsidRPr="003A4AD3">
        <w:rPr>
          <w:rFonts w:cstheme="minorHAnsi"/>
          <w:sz w:val="24"/>
          <w:szCs w:val="24"/>
        </w:rPr>
        <w:t xml:space="preserve">To find out more about this partnership and the research opportunity along with details for application and stipend please visit </w:t>
      </w:r>
      <w:hyperlink r:id="rId5" w:history="1">
        <w:r w:rsidRPr="003A4AD3">
          <w:rPr>
            <w:rStyle w:val="Hyperlink"/>
            <w:rFonts w:cstheme="minorHAnsi"/>
            <w:sz w:val="24"/>
            <w:szCs w:val="24"/>
          </w:rPr>
          <w:t>HDR Scholarship - Titanium aluminides | Deakin</w:t>
        </w:r>
      </w:hyperlink>
    </w:p>
    <w:p w14:paraId="0E87087C" w14:textId="5AC87D5F" w:rsidR="008069F9" w:rsidRPr="003A4AD3" w:rsidRDefault="00436373" w:rsidP="008069F9">
      <w:pPr>
        <w:rPr>
          <w:rFonts w:cstheme="minorHAnsi"/>
          <w:sz w:val="24"/>
          <w:szCs w:val="24"/>
        </w:rPr>
      </w:pPr>
      <w:r w:rsidRPr="003A4AD3">
        <w:rPr>
          <w:rFonts w:cstheme="minorHAnsi"/>
          <w:b/>
          <w:bCs/>
          <w:sz w:val="24"/>
          <w:szCs w:val="24"/>
        </w:rPr>
        <w:t>About Deakin University, Australia:</w:t>
      </w:r>
      <w:r w:rsidRPr="003A4AD3">
        <w:rPr>
          <w:rFonts w:cstheme="minorHAnsi"/>
          <w:sz w:val="24"/>
          <w:szCs w:val="24"/>
        </w:rPr>
        <w:t xml:space="preserve"> </w:t>
      </w:r>
      <w:r w:rsidR="008069F9" w:rsidRPr="003A4AD3">
        <w:rPr>
          <w:rFonts w:cstheme="minorHAnsi"/>
          <w:sz w:val="24"/>
          <w:szCs w:val="24"/>
        </w:rPr>
        <w:t xml:space="preserve">Established in 1974, Deakin University successfully combines excellence in teaching, research and effective partnerships with industry and </w:t>
      </w:r>
      <w:r w:rsidR="008069F9" w:rsidRPr="003A4AD3">
        <w:rPr>
          <w:rFonts w:cstheme="minorHAnsi"/>
          <w:sz w:val="24"/>
          <w:szCs w:val="24"/>
        </w:rPr>
        <w:lastRenderedPageBreak/>
        <w:t>government to deliver high quality courses and undertake research that makes a difference to the domestic and international communities it serves.</w:t>
      </w:r>
    </w:p>
    <w:p w14:paraId="6D5D2C66" w14:textId="77777777" w:rsidR="008069F9" w:rsidRPr="003A4AD3" w:rsidRDefault="008069F9" w:rsidP="008069F9">
      <w:pPr>
        <w:rPr>
          <w:rFonts w:cstheme="minorHAnsi"/>
          <w:sz w:val="24"/>
          <w:szCs w:val="24"/>
        </w:rPr>
      </w:pPr>
      <w:r w:rsidRPr="003A4AD3">
        <w:rPr>
          <w:rFonts w:cstheme="minorHAnsi"/>
          <w:sz w:val="24"/>
          <w:szCs w:val="24"/>
        </w:rPr>
        <w:t xml:space="preserve">Deakin's South Asia operations commenced in 1994 at New Delhi, India, making it one of the first overseas education provider to set operations in this region. Here, Deakin engages with the government, industry, and academia to share its vibrant culture of education and research. </w:t>
      </w:r>
    </w:p>
    <w:p w14:paraId="2A7D3D77" w14:textId="77777777" w:rsidR="008069F9" w:rsidRPr="003A4AD3" w:rsidRDefault="008069F9" w:rsidP="008069F9">
      <w:pPr>
        <w:rPr>
          <w:rStyle w:val="Hyperlink"/>
          <w:rFonts w:cstheme="minorHAnsi"/>
          <w:sz w:val="24"/>
          <w:szCs w:val="24"/>
        </w:rPr>
      </w:pPr>
      <w:r w:rsidRPr="003A4AD3">
        <w:rPr>
          <w:rFonts w:cstheme="minorHAnsi"/>
          <w:sz w:val="24"/>
          <w:szCs w:val="24"/>
        </w:rPr>
        <w:t xml:space="preserve">For more information on Deakin University, please visit: </w:t>
      </w:r>
      <w:hyperlink r:id="rId6" w:history="1">
        <w:r w:rsidRPr="003A4AD3">
          <w:rPr>
            <w:rStyle w:val="Hyperlink"/>
            <w:rFonts w:cstheme="minorHAnsi"/>
            <w:sz w:val="24"/>
            <w:szCs w:val="24"/>
          </w:rPr>
          <w:t>https://www.deakin.edu.au/</w:t>
        </w:r>
      </w:hyperlink>
    </w:p>
    <w:p w14:paraId="21ABD42D" w14:textId="77777777" w:rsidR="008069F9" w:rsidRPr="003A4AD3" w:rsidRDefault="008069F9" w:rsidP="008069F9">
      <w:pPr>
        <w:rPr>
          <w:rFonts w:cstheme="minorHAnsi"/>
          <w:b/>
          <w:bCs/>
          <w:sz w:val="24"/>
          <w:szCs w:val="24"/>
        </w:rPr>
      </w:pPr>
      <w:r w:rsidRPr="003A4AD3">
        <w:rPr>
          <w:rFonts w:cstheme="minorHAnsi"/>
          <w:b/>
          <w:bCs/>
          <w:sz w:val="24"/>
          <w:szCs w:val="24"/>
        </w:rPr>
        <w:t>Media Contact</w:t>
      </w:r>
    </w:p>
    <w:p w14:paraId="57F782EF" w14:textId="77777777" w:rsidR="008069F9" w:rsidRPr="003A4AD3" w:rsidRDefault="008069F9" w:rsidP="008069F9">
      <w:pPr>
        <w:rPr>
          <w:rFonts w:cstheme="minorHAnsi"/>
          <w:sz w:val="24"/>
          <w:szCs w:val="24"/>
        </w:rPr>
      </w:pPr>
      <w:r w:rsidRPr="003A4AD3">
        <w:rPr>
          <w:rFonts w:cstheme="minorHAnsi"/>
          <w:sz w:val="24"/>
          <w:szCs w:val="24"/>
        </w:rPr>
        <w:t>Prachi Mishra</w:t>
      </w:r>
    </w:p>
    <w:p w14:paraId="4D66FAB1" w14:textId="77777777" w:rsidR="008069F9" w:rsidRPr="003A4AD3" w:rsidRDefault="00000000" w:rsidP="008069F9">
      <w:pPr>
        <w:rPr>
          <w:rFonts w:cstheme="minorHAnsi"/>
          <w:sz w:val="24"/>
          <w:szCs w:val="24"/>
        </w:rPr>
      </w:pPr>
      <w:hyperlink r:id="rId7">
        <w:r w:rsidR="008069F9" w:rsidRPr="003A4AD3">
          <w:rPr>
            <w:rStyle w:val="Hyperlink"/>
            <w:rFonts w:cstheme="minorHAnsi"/>
            <w:sz w:val="24"/>
            <w:szCs w:val="24"/>
          </w:rPr>
          <w:t>prachi.mishra@deakin.edu.au</w:t>
        </w:r>
      </w:hyperlink>
    </w:p>
    <w:p w14:paraId="02AC3969" w14:textId="64BCDFD1" w:rsidR="008069F9" w:rsidRPr="003A4AD3" w:rsidRDefault="008069F9" w:rsidP="008069F9">
      <w:pPr>
        <w:rPr>
          <w:rFonts w:cstheme="minorHAnsi"/>
          <w:sz w:val="24"/>
          <w:szCs w:val="24"/>
        </w:rPr>
      </w:pPr>
      <w:r w:rsidRPr="003A4AD3">
        <w:rPr>
          <w:rFonts w:cstheme="minorHAnsi"/>
          <w:sz w:val="24"/>
          <w:szCs w:val="24"/>
        </w:rPr>
        <w:t xml:space="preserve">+91 </w:t>
      </w:r>
      <w:r w:rsidR="003A4AD3" w:rsidRPr="003A4AD3">
        <w:rPr>
          <w:rFonts w:cstheme="minorHAnsi"/>
          <w:sz w:val="24"/>
          <w:szCs w:val="24"/>
        </w:rPr>
        <w:t>9493948635</w:t>
      </w:r>
    </w:p>
    <w:p w14:paraId="73DE5908" w14:textId="24233435" w:rsidR="006917C8" w:rsidRPr="003A4AD3" w:rsidRDefault="006917C8">
      <w:pPr>
        <w:rPr>
          <w:rFonts w:cstheme="minorHAnsi"/>
          <w:sz w:val="24"/>
          <w:szCs w:val="24"/>
        </w:rPr>
      </w:pPr>
    </w:p>
    <w:p w14:paraId="41116EA0" w14:textId="27EB58F6" w:rsidR="000E56D1" w:rsidRPr="003A4AD3" w:rsidRDefault="000E56D1">
      <w:pPr>
        <w:rPr>
          <w:rFonts w:cstheme="minorHAnsi"/>
          <w:sz w:val="24"/>
          <w:szCs w:val="24"/>
        </w:rPr>
      </w:pPr>
    </w:p>
    <w:p w14:paraId="0E3B7AE6" w14:textId="77777777" w:rsidR="008F14C1" w:rsidRPr="003A4AD3" w:rsidRDefault="008F14C1">
      <w:pPr>
        <w:rPr>
          <w:rFonts w:cstheme="minorHAnsi"/>
          <w:sz w:val="24"/>
          <w:szCs w:val="24"/>
        </w:rPr>
      </w:pPr>
    </w:p>
    <w:p w14:paraId="227B7ABF" w14:textId="77777777" w:rsidR="003C3D9C" w:rsidRPr="003A4AD3" w:rsidRDefault="003C3D9C">
      <w:pPr>
        <w:rPr>
          <w:rFonts w:cstheme="minorHAnsi"/>
          <w:sz w:val="24"/>
          <w:szCs w:val="24"/>
        </w:rPr>
      </w:pPr>
    </w:p>
    <w:p w14:paraId="05C460B6" w14:textId="77777777" w:rsidR="00452199" w:rsidRPr="003A4AD3" w:rsidRDefault="00452199">
      <w:pPr>
        <w:rPr>
          <w:rFonts w:cstheme="minorHAnsi"/>
          <w:sz w:val="24"/>
          <w:szCs w:val="24"/>
        </w:rPr>
      </w:pPr>
    </w:p>
    <w:p w14:paraId="6D0ADE87" w14:textId="77777777" w:rsidR="00452199" w:rsidRPr="003A4AD3" w:rsidRDefault="00452199">
      <w:pPr>
        <w:rPr>
          <w:rFonts w:cstheme="minorHAnsi"/>
          <w:sz w:val="24"/>
          <w:szCs w:val="24"/>
        </w:rPr>
      </w:pPr>
    </w:p>
    <w:p w14:paraId="7D7BCE6D" w14:textId="77777777" w:rsidR="00454192" w:rsidRPr="003A4AD3" w:rsidRDefault="00454192">
      <w:pPr>
        <w:rPr>
          <w:rFonts w:cstheme="minorHAnsi"/>
          <w:sz w:val="24"/>
          <w:szCs w:val="24"/>
        </w:rPr>
      </w:pPr>
    </w:p>
    <w:p w14:paraId="1ED67ADD" w14:textId="77777777" w:rsidR="00E75B56" w:rsidRPr="003A4AD3" w:rsidRDefault="00E75B56" w:rsidP="00E75B56">
      <w:pPr>
        <w:rPr>
          <w:rFonts w:cstheme="minorHAnsi"/>
          <w:color w:val="0E0E80"/>
          <w:sz w:val="24"/>
          <w:szCs w:val="24"/>
          <w:lang w:val="en-IN" w:eastAsia="en-IN"/>
          <w14:ligatures w14:val="none"/>
        </w:rPr>
      </w:pPr>
    </w:p>
    <w:p w14:paraId="24507D54" w14:textId="77777777" w:rsidR="00BE2BD8" w:rsidRPr="003A4AD3" w:rsidRDefault="00BE2BD8">
      <w:pPr>
        <w:rPr>
          <w:rFonts w:cstheme="minorHAnsi"/>
          <w:sz w:val="24"/>
          <w:szCs w:val="24"/>
        </w:rPr>
      </w:pPr>
    </w:p>
    <w:sectPr w:rsidR="00BE2BD8" w:rsidRPr="003A4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FA4270"/>
    <w:multiLevelType w:val="multilevel"/>
    <w:tmpl w:val="24ECC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73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38"/>
    <w:rsid w:val="000157F3"/>
    <w:rsid w:val="000314CD"/>
    <w:rsid w:val="00033700"/>
    <w:rsid w:val="00055E7B"/>
    <w:rsid w:val="00067948"/>
    <w:rsid w:val="00080439"/>
    <w:rsid w:val="000819FF"/>
    <w:rsid w:val="000C3E56"/>
    <w:rsid w:val="000C7D41"/>
    <w:rsid w:val="000D44DA"/>
    <w:rsid w:val="000E56D1"/>
    <w:rsid w:val="00106010"/>
    <w:rsid w:val="00146B45"/>
    <w:rsid w:val="0015362D"/>
    <w:rsid w:val="00163EA3"/>
    <w:rsid w:val="001A3D8C"/>
    <w:rsid w:val="001A558A"/>
    <w:rsid w:val="001E2C8C"/>
    <w:rsid w:val="00207DCE"/>
    <w:rsid w:val="0023222E"/>
    <w:rsid w:val="0027006D"/>
    <w:rsid w:val="002802AF"/>
    <w:rsid w:val="00284413"/>
    <w:rsid w:val="00293D59"/>
    <w:rsid w:val="002C623C"/>
    <w:rsid w:val="002F4D4D"/>
    <w:rsid w:val="00311897"/>
    <w:rsid w:val="00334D25"/>
    <w:rsid w:val="0033555F"/>
    <w:rsid w:val="003742BE"/>
    <w:rsid w:val="003A4AD3"/>
    <w:rsid w:val="003B2B42"/>
    <w:rsid w:val="003C0182"/>
    <w:rsid w:val="003C3D9C"/>
    <w:rsid w:val="003E120A"/>
    <w:rsid w:val="00406888"/>
    <w:rsid w:val="00436373"/>
    <w:rsid w:val="00452199"/>
    <w:rsid w:val="00454192"/>
    <w:rsid w:val="0045504C"/>
    <w:rsid w:val="00465B8C"/>
    <w:rsid w:val="004B3198"/>
    <w:rsid w:val="004B3B00"/>
    <w:rsid w:val="004C38FA"/>
    <w:rsid w:val="004E6C6A"/>
    <w:rsid w:val="00531AEA"/>
    <w:rsid w:val="00532D7A"/>
    <w:rsid w:val="00532DC2"/>
    <w:rsid w:val="00534AA5"/>
    <w:rsid w:val="00536AC1"/>
    <w:rsid w:val="00573130"/>
    <w:rsid w:val="00576B82"/>
    <w:rsid w:val="005840E4"/>
    <w:rsid w:val="005A6037"/>
    <w:rsid w:val="005C0ADB"/>
    <w:rsid w:val="005E24BE"/>
    <w:rsid w:val="006067C5"/>
    <w:rsid w:val="006917C8"/>
    <w:rsid w:val="006A1634"/>
    <w:rsid w:val="006A7289"/>
    <w:rsid w:val="006B2B15"/>
    <w:rsid w:val="006C1F96"/>
    <w:rsid w:val="006C75A7"/>
    <w:rsid w:val="006D147B"/>
    <w:rsid w:val="006F4C38"/>
    <w:rsid w:val="007129A0"/>
    <w:rsid w:val="0072136F"/>
    <w:rsid w:val="00725804"/>
    <w:rsid w:val="00736DD7"/>
    <w:rsid w:val="0074183E"/>
    <w:rsid w:val="00780C1A"/>
    <w:rsid w:val="00791194"/>
    <w:rsid w:val="007A4D65"/>
    <w:rsid w:val="007B5672"/>
    <w:rsid w:val="007C1145"/>
    <w:rsid w:val="007D2B91"/>
    <w:rsid w:val="007D4D1E"/>
    <w:rsid w:val="008029DD"/>
    <w:rsid w:val="008069F9"/>
    <w:rsid w:val="008300FD"/>
    <w:rsid w:val="00842FFE"/>
    <w:rsid w:val="0089540A"/>
    <w:rsid w:val="008B54D0"/>
    <w:rsid w:val="008C4B38"/>
    <w:rsid w:val="008D12C1"/>
    <w:rsid w:val="008E07A5"/>
    <w:rsid w:val="008F14C1"/>
    <w:rsid w:val="00912115"/>
    <w:rsid w:val="00950903"/>
    <w:rsid w:val="00960DF6"/>
    <w:rsid w:val="009761DE"/>
    <w:rsid w:val="00984638"/>
    <w:rsid w:val="00990781"/>
    <w:rsid w:val="009C5F65"/>
    <w:rsid w:val="009D72EB"/>
    <w:rsid w:val="009E1D75"/>
    <w:rsid w:val="009F4897"/>
    <w:rsid w:val="00A07A72"/>
    <w:rsid w:val="00A40826"/>
    <w:rsid w:val="00A50CD1"/>
    <w:rsid w:val="00A764C4"/>
    <w:rsid w:val="00A83F19"/>
    <w:rsid w:val="00A8543F"/>
    <w:rsid w:val="00A91108"/>
    <w:rsid w:val="00A97201"/>
    <w:rsid w:val="00A97AC8"/>
    <w:rsid w:val="00AB410B"/>
    <w:rsid w:val="00AB54C4"/>
    <w:rsid w:val="00AB70CD"/>
    <w:rsid w:val="00AC13C9"/>
    <w:rsid w:val="00AD7B63"/>
    <w:rsid w:val="00AE1B3A"/>
    <w:rsid w:val="00AE43C0"/>
    <w:rsid w:val="00AF5A98"/>
    <w:rsid w:val="00B0032F"/>
    <w:rsid w:val="00B23C50"/>
    <w:rsid w:val="00B6671E"/>
    <w:rsid w:val="00B80801"/>
    <w:rsid w:val="00BA1B65"/>
    <w:rsid w:val="00BC6258"/>
    <w:rsid w:val="00BD059C"/>
    <w:rsid w:val="00BE02B6"/>
    <w:rsid w:val="00BE2BD8"/>
    <w:rsid w:val="00BF3BE8"/>
    <w:rsid w:val="00BF68B2"/>
    <w:rsid w:val="00C01FBC"/>
    <w:rsid w:val="00C15109"/>
    <w:rsid w:val="00C16527"/>
    <w:rsid w:val="00C53716"/>
    <w:rsid w:val="00C87CE6"/>
    <w:rsid w:val="00CC23C6"/>
    <w:rsid w:val="00D04E6E"/>
    <w:rsid w:val="00D20D27"/>
    <w:rsid w:val="00D522B1"/>
    <w:rsid w:val="00D631D5"/>
    <w:rsid w:val="00D6511E"/>
    <w:rsid w:val="00D720A0"/>
    <w:rsid w:val="00D8137B"/>
    <w:rsid w:val="00D81FE0"/>
    <w:rsid w:val="00DA34E8"/>
    <w:rsid w:val="00DB0E2F"/>
    <w:rsid w:val="00DD32C2"/>
    <w:rsid w:val="00DE5CF6"/>
    <w:rsid w:val="00DF4A83"/>
    <w:rsid w:val="00E16C5B"/>
    <w:rsid w:val="00E171FC"/>
    <w:rsid w:val="00E61C5B"/>
    <w:rsid w:val="00E71B28"/>
    <w:rsid w:val="00E75B56"/>
    <w:rsid w:val="00E75C54"/>
    <w:rsid w:val="00E77B37"/>
    <w:rsid w:val="00E9001F"/>
    <w:rsid w:val="00E97CFD"/>
    <w:rsid w:val="00EA1863"/>
    <w:rsid w:val="00EB1CE8"/>
    <w:rsid w:val="00ED264B"/>
    <w:rsid w:val="00EE0CD0"/>
    <w:rsid w:val="00EE3DEA"/>
    <w:rsid w:val="00EF39B0"/>
    <w:rsid w:val="00F034D0"/>
    <w:rsid w:val="00F06EF1"/>
    <w:rsid w:val="00F11732"/>
    <w:rsid w:val="00F2314B"/>
    <w:rsid w:val="00F44007"/>
    <w:rsid w:val="00FA76CD"/>
    <w:rsid w:val="00FC5F4A"/>
    <w:rsid w:val="00FF209A"/>
    <w:rsid w:val="00FF6BE5"/>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7C558"/>
  <w15:chartTrackingRefBased/>
  <w15:docId w15:val="{37822A65-2F20-41CB-B7CA-DD6E4A37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23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9C5F65"/>
    <w:rPr>
      <w:b/>
      <w:bCs/>
    </w:rPr>
  </w:style>
  <w:style w:type="character" w:styleId="Hyperlink">
    <w:name w:val="Hyperlink"/>
    <w:basedOn w:val="DefaultParagraphFont"/>
    <w:uiPriority w:val="99"/>
    <w:unhideWhenUsed/>
    <w:rsid w:val="008069F9"/>
    <w:rPr>
      <w:color w:val="0563C1" w:themeColor="hyperlink"/>
      <w:u w:val="single"/>
    </w:rPr>
  </w:style>
  <w:style w:type="character" w:styleId="CommentReference">
    <w:name w:val="annotation reference"/>
    <w:basedOn w:val="DefaultParagraphFont"/>
    <w:uiPriority w:val="99"/>
    <w:semiHidden/>
    <w:unhideWhenUsed/>
    <w:rsid w:val="00A07A72"/>
    <w:rPr>
      <w:sz w:val="16"/>
      <w:szCs w:val="16"/>
    </w:rPr>
  </w:style>
  <w:style w:type="paragraph" w:styleId="CommentText">
    <w:name w:val="annotation text"/>
    <w:basedOn w:val="Normal"/>
    <w:link w:val="CommentTextChar"/>
    <w:uiPriority w:val="99"/>
    <w:unhideWhenUsed/>
    <w:rsid w:val="00A07A72"/>
    <w:pPr>
      <w:spacing w:line="240" w:lineRule="auto"/>
    </w:pPr>
    <w:rPr>
      <w:sz w:val="20"/>
      <w:szCs w:val="20"/>
    </w:rPr>
  </w:style>
  <w:style w:type="character" w:customStyle="1" w:styleId="CommentTextChar">
    <w:name w:val="Comment Text Char"/>
    <w:basedOn w:val="DefaultParagraphFont"/>
    <w:link w:val="CommentText"/>
    <w:uiPriority w:val="99"/>
    <w:rsid w:val="00A07A72"/>
    <w:rPr>
      <w:sz w:val="20"/>
      <w:szCs w:val="20"/>
    </w:rPr>
  </w:style>
  <w:style w:type="paragraph" w:styleId="CommentSubject">
    <w:name w:val="annotation subject"/>
    <w:basedOn w:val="CommentText"/>
    <w:next w:val="CommentText"/>
    <w:link w:val="CommentSubjectChar"/>
    <w:uiPriority w:val="99"/>
    <w:semiHidden/>
    <w:unhideWhenUsed/>
    <w:rsid w:val="00A07A72"/>
    <w:rPr>
      <w:b/>
      <w:bCs/>
    </w:rPr>
  </w:style>
  <w:style w:type="character" w:customStyle="1" w:styleId="CommentSubjectChar">
    <w:name w:val="Comment Subject Char"/>
    <w:basedOn w:val="CommentTextChar"/>
    <w:link w:val="CommentSubject"/>
    <w:uiPriority w:val="99"/>
    <w:semiHidden/>
    <w:rsid w:val="00A07A72"/>
    <w:rPr>
      <w:b/>
      <w:bCs/>
      <w:sz w:val="20"/>
      <w:szCs w:val="20"/>
    </w:rPr>
  </w:style>
  <w:style w:type="paragraph" w:styleId="Revision">
    <w:name w:val="Revision"/>
    <w:hidden/>
    <w:uiPriority w:val="99"/>
    <w:semiHidden/>
    <w:rsid w:val="00C15109"/>
    <w:pPr>
      <w:spacing w:after="0" w:line="240" w:lineRule="auto"/>
    </w:pPr>
    <w:rPr>
      <w:rFonts w:eastAsiaTheme="minorHAnsi"/>
    </w:rPr>
  </w:style>
  <w:style w:type="character" w:styleId="UnresolvedMention">
    <w:name w:val="Unresolved Mention"/>
    <w:basedOn w:val="DefaultParagraphFont"/>
    <w:uiPriority w:val="99"/>
    <w:semiHidden/>
    <w:unhideWhenUsed/>
    <w:rsid w:val="005A6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99395">
      <w:bodyDiv w:val="1"/>
      <w:marLeft w:val="0"/>
      <w:marRight w:val="0"/>
      <w:marTop w:val="0"/>
      <w:marBottom w:val="0"/>
      <w:divBdr>
        <w:top w:val="none" w:sz="0" w:space="0" w:color="auto"/>
        <w:left w:val="none" w:sz="0" w:space="0" w:color="auto"/>
        <w:bottom w:val="none" w:sz="0" w:space="0" w:color="auto"/>
        <w:right w:val="none" w:sz="0" w:space="0" w:color="auto"/>
      </w:divBdr>
    </w:div>
    <w:div w:id="593324881">
      <w:bodyDiv w:val="1"/>
      <w:marLeft w:val="0"/>
      <w:marRight w:val="0"/>
      <w:marTop w:val="0"/>
      <w:marBottom w:val="0"/>
      <w:divBdr>
        <w:top w:val="none" w:sz="0" w:space="0" w:color="auto"/>
        <w:left w:val="none" w:sz="0" w:space="0" w:color="auto"/>
        <w:bottom w:val="none" w:sz="0" w:space="0" w:color="auto"/>
        <w:right w:val="none" w:sz="0" w:space="0" w:color="auto"/>
      </w:divBdr>
      <w:divsChild>
        <w:div w:id="1670327293">
          <w:marLeft w:val="0"/>
          <w:marRight w:val="0"/>
          <w:marTop w:val="0"/>
          <w:marBottom w:val="0"/>
          <w:divBdr>
            <w:top w:val="none" w:sz="0" w:space="0" w:color="auto"/>
            <w:left w:val="none" w:sz="0" w:space="0" w:color="auto"/>
            <w:bottom w:val="none" w:sz="0" w:space="0" w:color="auto"/>
            <w:right w:val="none" w:sz="0" w:space="0" w:color="auto"/>
          </w:divBdr>
          <w:divsChild>
            <w:div w:id="420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639">
      <w:bodyDiv w:val="1"/>
      <w:marLeft w:val="0"/>
      <w:marRight w:val="0"/>
      <w:marTop w:val="0"/>
      <w:marBottom w:val="0"/>
      <w:divBdr>
        <w:top w:val="none" w:sz="0" w:space="0" w:color="auto"/>
        <w:left w:val="none" w:sz="0" w:space="0" w:color="auto"/>
        <w:bottom w:val="none" w:sz="0" w:space="0" w:color="auto"/>
        <w:right w:val="none" w:sz="0" w:space="0" w:color="auto"/>
      </w:divBdr>
    </w:div>
    <w:div w:id="1041979073">
      <w:bodyDiv w:val="1"/>
      <w:marLeft w:val="0"/>
      <w:marRight w:val="0"/>
      <w:marTop w:val="0"/>
      <w:marBottom w:val="0"/>
      <w:divBdr>
        <w:top w:val="none" w:sz="0" w:space="0" w:color="auto"/>
        <w:left w:val="none" w:sz="0" w:space="0" w:color="auto"/>
        <w:bottom w:val="none" w:sz="0" w:space="0" w:color="auto"/>
        <w:right w:val="none" w:sz="0" w:space="0" w:color="auto"/>
      </w:divBdr>
    </w:div>
    <w:div w:id="1065301772">
      <w:bodyDiv w:val="1"/>
      <w:marLeft w:val="0"/>
      <w:marRight w:val="0"/>
      <w:marTop w:val="0"/>
      <w:marBottom w:val="0"/>
      <w:divBdr>
        <w:top w:val="none" w:sz="0" w:space="0" w:color="auto"/>
        <w:left w:val="none" w:sz="0" w:space="0" w:color="auto"/>
        <w:bottom w:val="none" w:sz="0" w:space="0" w:color="auto"/>
        <w:right w:val="none" w:sz="0" w:space="0" w:color="auto"/>
      </w:divBdr>
    </w:div>
    <w:div w:id="1520436432">
      <w:bodyDiv w:val="1"/>
      <w:marLeft w:val="0"/>
      <w:marRight w:val="0"/>
      <w:marTop w:val="0"/>
      <w:marBottom w:val="0"/>
      <w:divBdr>
        <w:top w:val="none" w:sz="0" w:space="0" w:color="auto"/>
        <w:left w:val="none" w:sz="0" w:space="0" w:color="auto"/>
        <w:bottom w:val="none" w:sz="0" w:space="0" w:color="auto"/>
        <w:right w:val="none" w:sz="0" w:space="0" w:color="auto"/>
      </w:divBdr>
    </w:div>
    <w:div w:id="1662272421">
      <w:bodyDiv w:val="1"/>
      <w:marLeft w:val="0"/>
      <w:marRight w:val="0"/>
      <w:marTop w:val="0"/>
      <w:marBottom w:val="0"/>
      <w:divBdr>
        <w:top w:val="none" w:sz="0" w:space="0" w:color="auto"/>
        <w:left w:val="none" w:sz="0" w:space="0" w:color="auto"/>
        <w:bottom w:val="none" w:sz="0" w:space="0" w:color="auto"/>
        <w:right w:val="none" w:sz="0" w:space="0" w:color="auto"/>
      </w:divBdr>
    </w:div>
    <w:div w:id="1790322051">
      <w:bodyDiv w:val="1"/>
      <w:marLeft w:val="0"/>
      <w:marRight w:val="0"/>
      <w:marTop w:val="0"/>
      <w:marBottom w:val="0"/>
      <w:divBdr>
        <w:top w:val="none" w:sz="0" w:space="0" w:color="auto"/>
        <w:left w:val="none" w:sz="0" w:space="0" w:color="auto"/>
        <w:bottom w:val="none" w:sz="0" w:space="0" w:color="auto"/>
        <w:right w:val="none" w:sz="0" w:space="0" w:color="auto"/>
      </w:divBdr>
    </w:div>
    <w:div w:id="1851025599">
      <w:bodyDiv w:val="1"/>
      <w:marLeft w:val="0"/>
      <w:marRight w:val="0"/>
      <w:marTop w:val="0"/>
      <w:marBottom w:val="0"/>
      <w:divBdr>
        <w:top w:val="none" w:sz="0" w:space="0" w:color="auto"/>
        <w:left w:val="none" w:sz="0" w:space="0" w:color="auto"/>
        <w:bottom w:val="none" w:sz="0" w:space="0" w:color="auto"/>
        <w:right w:val="none" w:sz="0" w:space="0" w:color="auto"/>
      </w:divBdr>
    </w:div>
    <w:div w:id="18852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chi.mishra@deakin.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akin.edu.au/" TargetMode="External"/><Relationship Id="rId5" Type="http://schemas.openxmlformats.org/officeDocument/2006/relationships/hyperlink" Target="https://www.deakin.edu.au/study/fees-and-scholarships/scholarships/find-a-scholarship/hdr-scholarship-titanium-aluminid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501</Words>
  <Characters>3182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Mishra</dc:creator>
  <cp:keywords/>
  <dc:description/>
  <cp:lastModifiedBy>Prachi Mishra</cp:lastModifiedBy>
  <cp:revision>4</cp:revision>
  <dcterms:created xsi:type="dcterms:W3CDTF">2024-04-30T20:48:00Z</dcterms:created>
  <dcterms:modified xsi:type="dcterms:W3CDTF">2024-05-16T09:20:00Z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5dd0ac0aa31ba3814cdd1cc45eb9093a9e54a6efc21e77fb34f809d7af67774e</vt:lpwstr>
  </property>
</Properties>
</file>